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E059" w14:textId="77777777" w:rsidR="00FF1800" w:rsidRDefault="00FF1800" w:rsidP="00FF1800">
      <w:pPr>
        <w:rPr>
          <w:b/>
          <w:bCs/>
          <w:color w:val="C00000"/>
        </w:rPr>
      </w:pPr>
      <w:r>
        <w:rPr>
          <w:rFonts w:ascii="Times New Roman"/>
          <w:noProof/>
          <w:lang w:eastAsia="en-IN"/>
        </w:rPr>
        <w:drawing>
          <wp:anchor distT="0" distB="0" distL="114300" distR="114300" simplePos="0" relativeHeight="251663360" behindDoc="0" locked="0" layoutInCell="1" allowOverlap="1" wp14:anchorId="7E1E9FAF" wp14:editId="1CEBA0F4">
            <wp:simplePos x="0" y="0"/>
            <wp:positionH relativeFrom="column">
              <wp:posOffset>488950</wp:posOffset>
            </wp:positionH>
            <wp:positionV relativeFrom="paragraph">
              <wp:posOffset>114300</wp:posOffset>
            </wp:positionV>
            <wp:extent cx="987425" cy="469900"/>
            <wp:effectExtent l="0" t="0" r="3175" b="6350"/>
            <wp:wrapNone/>
            <wp:docPr id="761770184"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965" name="Picture 1" descr="A yellow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469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N"/>
        </w:rPr>
        <w:drawing>
          <wp:anchor distT="0" distB="0" distL="114300" distR="114300" simplePos="0" relativeHeight="251661312" behindDoc="0" locked="0" layoutInCell="1" allowOverlap="1" wp14:anchorId="3EBBBE1B" wp14:editId="360FD736">
            <wp:simplePos x="0" y="0"/>
            <wp:positionH relativeFrom="margin">
              <wp:posOffset>3683000</wp:posOffset>
            </wp:positionH>
            <wp:positionV relativeFrom="paragraph">
              <wp:posOffset>38100</wp:posOffset>
            </wp:positionV>
            <wp:extent cx="1973580" cy="640079"/>
            <wp:effectExtent l="0" t="0" r="0" b="8255"/>
            <wp:wrapNone/>
            <wp:docPr id="5" name="Image 5" descr="A group of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 5" descr="A group of blue text&#10;&#10;AI-generated content may be incorrect."/>
                    <pic:cNvPicPr/>
                  </pic:nvPicPr>
                  <pic:blipFill>
                    <a:blip r:embed="rId6" cstate="print"/>
                    <a:stretch>
                      <a:fillRect/>
                    </a:stretch>
                  </pic:blipFill>
                  <pic:spPr>
                    <a:xfrm>
                      <a:off x="0" y="0"/>
                      <a:ext cx="1973580" cy="640079"/>
                    </a:xfrm>
                    <a:prstGeom prst="rect">
                      <a:avLst/>
                    </a:prstGeom>
                  </pic:spPr>
                </pic:pic>
              </a:graphicData>
            </a:graphic>
          </wp:anchor>
        </w:drawing>
      </w:r>
      <w:r>
        <w:rPr>
          <w:noProof/>
          <w:lang w:eastAsia="en-IN"/>
        </w:rPr>
        <mc:AlternateContent>
          <mc:Choice Requires="wps">
            <w:drawing>
              <wp:anchor distT="0" distB="0" distL="114300" distR="114300" simplePos="0" relativeHeight="251659264" behindDoc="0" locked="0" layoutInCell="1" allowOverlap="1" wp14:anchorId="5480BD37" wp14:editId="69E7C311">
                <wp:simplePos x="0" y="0"/>
                <wp:positionH relativeFrom="column">
                  <wp:posOffset>0</wp:posOffset>
                </wp:positionH>
                <wp:positionV relativeFrom="paragraph">
                  <wp:posOffset>0</wp:posOffset>
                </wp:positionV>
                <wp:extent cx="5671185" cy="715010"/>
                <wp:effectExtent l="0" t="0" r="5715" b="8890"/>
                <wp:wrapNone/>
                <wp:docPr id="2" name="Graphic 2"/>
                <wp:cNvGraphicFramePr/>
                <a:graphic xmlns:a="http://schemas.openxmlformats.org/drawingml/2006/main">
                  <a:graphicData uri="http://schemas.microsoft.com/office/word/2010/wordprocessingShape">
                    <wps:wsp>
                      <wps:cNvSpPr/>
                      <wps:spPr>
                        <a:xfrm>
                          <a:off x="0" y="0"/>
                          <a:ext cx="5671185" cy="715010"/>
                        </a:xfrm>
                        <a:custGeom>
                          <a:avLst/>
                          <a:gdLst/>
                          <a:ahLst/>
                          <a:cxnLst/>
                          <a:rect l="l" t="t" r="r" b="b"/>
                          <a:pathLst>
                            <a:path w="5671185" h="715010">
                              <a:moveTo>
                                <a:pt x="5670804" y="714755"/>
                              </a:moveTo>
                              <a:lnTo>
                                <a:pt x="0" y="714755"/>
                              </a:lnTo>
                              <a:lnTo>
                                <a:pt x="0" y="0"/>
                              </a:lnTo>
                              <a:lnTo>
                                <a:pt x="5670804" y="0"/>
                              </a:lnTo>
                              <a:lnTo>
                                <a:pt x="5670804" y="714755"/>
                              </a:lnTo>
                              <a:close/>
                            </a:path>
                          </a:pathLst>
                        </a:custGeom>
                        <a:solidFill>
                          <a:srgbClr val="F2F2F2"/>
                        </a:solidFill>
                      </wps:spPr>
                      <wps:bodyPr vertOverflow="clip" horzOverflow="clip" wrap="square" lIns="0" tIns="0" rIns="0" bIns="0" rtlCol="0">
                        <a:prstTxWarp prst="textNoShape">
                          <a:avLst/>
                        </a:prstTxWarp>
                        <a:noAutofit/>
                      </wps:bodyPr>
                    </wps:wsp>
                  </a:graphicData>
                </a:graphic>
              </wp:anchor>
            </w:drawing>
          </mc:Choice>
          <mc:Fallback>
            <w:pict>
              <v:shape w14:anchorId="63426754" id="Graphic 2" o:spid="_x0000_s1026" style="position:absolute;margin-left:0;margin-top:0;width:446.55pt;height:5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671185,7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" path="m5670804,714755l,714755,,,5670804,r,714755xe" fillcolor="#f2f2f2" stroked="f">
                <v:path arrowok="t"/>
              </v:shape>
            </w:pict>
          </mc:Fallback>
        </mc:AlternateContent>
      </w:r>
    </w:p>
    <w:p w14:paraId="1C6A7666" w14:textId="77777777" w:rsidR="00FF1800" w:rsidRDefault="00FF1800" w:rsidP="00A31ED1">
      <w:pPr>
        <w:jc w:val="center"/>
        <w:rPr>
          <w:b/>
          <w:bCs/>
          <w:color w:val="C00000"/>
        </w:rPr>
      </w:pPr>
    </w:p>
    <w:p w14:paraId="3B4CE625" w14:textId="77777777" w:rsidR="00FF1800" w:rsidRDefault="00FF1800" w:rsidP="00FF1800">
      <w:pPr>
        <w:rPr>
          <w:b/>
          <w:bCs/>
          <w:color w:val="C00000"/>
        </w:rPr>
      </w:pPr>
    </w:p>
    <w:p w14:paraId="1025F109" w14:textId="77777777" w:rsidR="00274E01" w:rsidRPr="00274E01" w:rsidRDefault="00FF1800" w:rsidP="00274E01">
      <w:r w:rsidRPr="00256E71">
        <w:rPr>
          <w:b/>
          <w:bCs/>
        </w:rPr>
        <w:t>Press Release for immediate distribution</w:t>
      </w:r>
    </w:p>
    <w:p w14:paraId="1A9CA6B6" w14:textId="77777777" w:rsidR="00274E01" w:rsidRPr="00274E01" w:rsidRDefault="00274E01" w:rsidP="00274E01">
      <w:pPr>
        <w:jc w:val="center"/>
        <w:rPr>
          <w:rFonts w:ascii="Arial" w:eastAsia="Times New Roman" w:hAnsi="Arial" w:cs="Arial"/>
          <w:b/>
          <w:bCs/>
          <w:color w:val="FF0000"/>
        </w:rPr>
      </w:pPr>
      <w:r w:rsidRPr="00274E01">
        <w:rPr>
          <w:rFonts w:ascii="Arial" w:eastAsia="Times New Roman" w:hAnsi="Arial" w:cs="Arial"/>
          <w:b/>
          <w:bCs/>
          <w:color w:val="FF0000"/>
        </w:rPr>
        <w:t>PNB Empowers Investors with Unified Demat-Trading Account Opening Journey via PNB One</w:t>
      </w:r>
    </w:p>
    <w:p w14:paraId="06B44FB0" w14:textId="40A04B14" w:rsidR="00274E01" w:rsidRPr="00270FA9" w:rsidRDefault="00274E01" w:rsidP="00274E01">
      <w:pPr>
        <w:jc w:val="both"/>
        <w:rPr>
          <w:rFonts w:ascii="Arial" w:eastAsia="Times New Roman" w:hAnsi="Arial" w:cs="Arial"/>
        </w:rPr>
      </w:pPr>
      <w:r w:rsidRPr="00270FA9">
        <w:rPr>
          <w:rFonts w:ascii="Arial" w:eastAsia="Times New Roman" w:hAnsi="Arial" w:cs="Arial"/>
          <w:b/>
          <w:bCs/>
        </w:rPr>
        <w:t xml:space="preserve">New Delhi, </w:t>
      </w:r>
      <w:r w:rsidR="00F569CB">
        <w:rPr>
          <w:rFonts w:ascii="Arial" w:eastAsia="Times New Roman" w:hAnsi="Arial" w:cs="Arial"/>
          <w:b/>
          <w:bCs/>
        </w:rPr>
        <w:t>August</w:t>
      </w:r>
      <w:r w:rsidRPr="00270FA9">
        <w:rPr>
          <w:rFonts w:ascii="Arial" w:eastAsia="Times New Roman" w:hAnsi="Arial" w:cs="Arial"/>
          <w:b/>
          <w:bCs/>
        </w:rPr>
        <w:t xml:space="preserve"> </w:t>
      </w:r>
      <w:r w:rsidR="00F569CB">
        <w:rPr>
          <w:rFonts w:ascii="Arial" w:eastAsia="Times New Roman" w:hAnsi="Arial" w:cs="Arial"/>
          <w:b/>
          <w:bCs/>
        </w:rPr>
        <w:t>04</w:t>
      </w:r>
      <w:r w:rsidRPr="00270FA9">
        <w:rPr>
          <w:rFonts w:ascii="Arial" w:eastAsia="Times New Roman" w:hAnsi="Arial" w:cs="Arial"/>
          <w:b/>
          <w:bCs/>
        </w:rPr>
        <w:t>, 2025</w:t>
      </w:r>
      <w:r w:rsidRPr="00270FA9">
        <w:rPr>
          <w:rFonts w:ascii="Arial" w:eastAsia="Times New Roman" w:hAnsi="Arial" w:cs="Arial"/>
        </w:rPr>
        <w:t xml:space="preserve"> – Punjab National Bank (PNB), India’s leading public sector bank, offers digital Integrated Demat &amp; Trading account opening functionality. This enables customers to open both Demat and Trading accounts simultaneously through the PNB One mobile application without requiring additional KYC documentation.</w:t>
      </w:r>
    </w:p>
    <w:p w14:paraId="4E61D5EC" w14:textId="77777777" w:rsidR="00274E01" w:rsidRPr="00270FA9" w:rsidRDefault="00274E01" w:rsidP="00274E01">
      <w:pPr>
        <w:jc w:val="both"/>
        <w:rPr>
          <w:rFonts w:ascii="Arial" w:eastAsia="Times New Roman" w:hAnsi="Arial" w:cs="Arial"/>
        </w:rPr>
      </w:pPr>
      <w:r w:rsidRPr="00270FA9">
        <w:rPr>
          <w:rFonts w:ascii="Arial" w:eastAsia="Times New Roman" w:hAnsi="Arial" w:cs="Arial"/>
        </w:rPr>
        <w:t>The digital facility represents a significant milestone in PNB's digital transformation</w:t>
      </w:r>
      <w:r>
        <w:rPr>
          <w:rFonts w:ascii="Arial" w:eastAsia="Times New Roman" w:hAnsi="Arial" w:cs="Arial"/>
        </w:rPr>
        <w:t xml:space="preserve"> journey, offering customers </w:t>
      </w:r>
      <w:r w:rsidRPr="00270FA9">
        <w:rPr>
          <w:rFonts w:ascii="Arial" w:eastAsia="Times New Roman" w:hAnsi="Arial" w:cs="Arial"/>
        </w:rPr>
        <w:t xml:space="preserve">convenience in </w:t>
      </w:r>
      <w:r>
        <w:rPr>
          <w:rFonts w:ascii="Arial" w:eastAsia="Times New Roman" w:hAnsi="Arial" w:cs="Arial"/>
        </w:rPr>
        <w:t>Demat &amp; Trading</w:t>
      </w:r>
      <w:r w:rsidRPr="00270FA9">
        <w:rPr>
          <w:rFonts w:ascii="Arial" w:eastAsia="Times New Roman" w:hAnsi="Arial" w:cs="Arial"/>
        </w:rPr>
        <w:t xml:space="preserve"> account opening. Through strategic partnership with the trading channel partners, PNB has created a unified</w:t>
      </w:r>
      <w:r>
        <w:rPr>
          <w:rFonts w:ascii="Arial" w:eastAsia="Times New Roman" w:hAnsi="Arial" w:cs="Arial"/>
        </w:rPr>
        <w:t xml:space="preserve"> </w:t>
      </w:r>
      <w:r w:rsidRPr="00270FA9">
        <w:rPr>
          <w:rFonts w:ascii="Arial" w:eastAsia="Times New Roman" w:hAnsi="Arial" w:cs="Arial"/>
        </w:rPr>
        <w:t>platform that eliminates traditional barr</w:t>
      </w:r>
      <w:r>
        <w:rPr>
          <w:rFonts w:ascii="Arial" w:eastAsia="Times New Roman" w:hAnsi="Arial" w:cs="Arial"/>
        </w:rPr>
        <w:t>iers in Demat &amp; Trading</w:t>
      </w:r>
      <w:r w:rsidRPr="00270FA9">
        <w:rPr>
          <w:rFonts w:ascii="Arial" w:eastAsia="Times New Roman" w:hAnsi="Arial" w:cs="Arial"/>
        </w:rPr>
        <w:t xml:space="preserve"> account opening.</w:t>
      </w:r>
    </w:p>
    <w:p w14:paraId="1A58A769" w14:textId="77777777" w:rsidR="00274E01" w:rsidRPr="00270FA9" w:rsidRDefault="00274E01" w:rsidP="00274E01">
      <w:pPr>
        <w:jc w:val="both"/>
        <w:rPr>
          <w:rFonts w:ascii="Arial" w:eastAsia="Times New Roman" w:hAnsi="Arial" w:cs="Arial"/>
        </w:rPr>
      </w:pPr>
      <w:r w:rsidRPr="00270FA9">
        <w:rPr>
          <w:rFonts w:ascii="Arial" w:eastAsia="Times New Roman" w:hAnsi="Arial" w:cs="Arial"/>
          <w:b/>
          <w:bCs/>
        </w:rPr>
        <w:t>Key Highlights</w:t>
      </w:r>
    </w:p>
    <w:p w14:paraId="561B3777" w14:textId="77777777" w:rsidR="00274E01" w:rsidRPr="00270FA9" w:rsidRDefault="00274E01" w:rsidP="00274E01">
      <w:pPr>
        <w:pStyle w:val="ListParagraph"/>
        <w:numPr>
          <w:ilvl w:val="0"/>
          <w:numId w:val="9"/>
        </w:numPr>
        <w:jc w:val="both"/>
        <w:rPr>
          <w:rFonts w:ascii="Arial" w:eastAsia="Times New Roman" w:hAnsi="Arial" w:cs="Arial"/>
        </w:rPr>
      </w:pPr>
      <w:r w:rsidRPr="00270FA9">
        <w:rPr>
          <w:rFonts w:ascii="Arial" w:eastAsia="Times New Roman" w:hAnsi="Arial" w:cs="Arial"/>
          <w:b/>
          <w:bCs/>
        </w:rPr>
        <w:t>Single application process</w:t>
      </w:r>
      <w:r w:rsidRPr="00270FA9">
        <w:rPr>
          <w:rFonts w:ascii="Arial" w:eastAsia="Times New Roman" w:hAnsi="Arial" w:cs="Arial"/>
        </w:rPr>
        <w:t xml:space="preserve">: Investors can now open Demat and trading accounts using a single application, </w:t>
      </w:r>
      <w:r>
        <w:rPr>
          <w:rFonts w:ascii="Arial" w:eastAsia="Times New Roman" w:hAnsi="Arial" w:cs="Arial"/>
        </w:rPr>
        <w:t>eliminating</w:t>
      </w:r>
      <w:r w:rsidR="00DC11C9">
        <w:rPr>
          <w:rFonts w:ascii="Arial" w:eastAsia="Times New Roman" w:hAnsi="Arial" w:cs="Arial"/>
        </w:rPr>
        <w:t xml:space="preserve"> paperwork and save</w:t>
      </w:r>
      <w:r w:rsidRPr="00270FA9">
        <w:rPr>
          <w:rFonts w:ascii="Arial" w:eastAsia="Times New Roman" w:hAnsi="Arial" w:cs="Arial"/>
        </w:rPr>
        <w:t xml:space="preserve"> time. </w:t>
      </w:r>
    </w:p>
    <w:p w14:paraId="6D2BC5A4" w14:textId="77777777" w:rsidR="00274E01" w:rsidRPr="00270FA9" w:rsidRDefault="00274E01" w:rsidP="00274E01">
      <w:pPr>
        <w:pStyle w:val="ListParagraph"/>
        <w:numPr>
          <w:ilvl w:val="0"/>
          <w:numId w:val="9"/>
        </w:numPr>
        <w:jc w:val="both"/>
        <w:rPr>
          <w:rFonts w:ascii="Arial" w:eastAsia="Times New Roman" w:hAnsi="Arial" w:cs="Arial"/>
        </w:rPr>
      </w:pPr>
      <w:r w:rsidRPr="00270FA9">
        <w:rPr>
          <w:rFonts w:ascii="Arial" w:eastAsia="Times New Roman" w:hAnsi="Arial" w:cs="Arial"/>
          <w:b/>
          <w:bCs/>
        </w:rPr>
        <w:t>Seamless integration</w:t>
      </w:r>
      <w:r w:rsidRPr="00270FA9">
        <w:rPr>
          <w:rFonts w:ascii="Arial" w:eastAsia="Times New Roman" w:hAnsi="Arial" w:cs="Arial"/>
        </w:rPr>
        <w:t>: The functionality ensures smooth integration bet</w:t>
      </w:r>
      <w:r>
        <w:rPr>
          <w:rFonts w:ascii="Arial" w:eastAsia="Times New Roman" w:hAnsi="Arial" w:cs="Arial"/>
        </w:rPr>
        <w:t>ween demat and trading accounts</w:t>
      </w:r>
      <w:r w:rsidRPr="00270FA9">
        <w:rPr>
          <w:rFonts w:ascii="Arial" w:eastAsia="Times New Roman" w:hAnsi="Arial" w:cs="Arial"/>
        </w:rPr>
        <w:t>.</w:t>
      </w:r>
    </w:p>
    <w:p w14:paraId="434A169E" w14:textId="77777777" w:rsidR="00274E01" w:rsidRPr="00270FA9" w:rsidRDefault="00274E01" w:rsidP="00274E01">
      <w:pPr>
        <w:pStyle w:val="ListParagraph"/>
        <w:numPr>
          <w:ilvl w:val="0"/>
          <w:numId w:val="9"/>
        </w:numPr>
        <w:jc w:val="both"/>
        <w:rPr>
          <w:rFonts w:ascii="Arial" w:eastAsia="Times New Roman" w:hAnsi="Arial" w:cs="Arial"/>
        </w:rPr>
      </w:pPr>
      <w:r w:rsidRPr="00270FA9">
        <w:rPr>
          <w:rFonts w:ascii="Arial" w:eastAsia="Times New Roman" w:hAnsi="Arial" w:cs="Arial"/>
          <w:b/>
          <w:bCs/>
        </w:rPr>
        <w:t>Status Updates</w:t>
      </w:r>
      <w:r w:rsidRPr="00270FA9">
        <w:rPr>
          <w:rFonts w:ascii="Arial" w:eastAsia="Times New Roman" w:hAnsi="Arial" w:cs="Arial"/>
        </w:rPr>
        <w:t>: Clients can manage both accounts through a unified dashboard of the trading partner, providing real-time updates and enhanced visibility.</w:t>
      </w:r>
    </w:p>
    <w:p w14:paraId="0C5296ED" w14:textId="77777777" w:rsidR="00274E01" w:rsidRPr="00270FA9" w:rsidRDefault="00274E01" w:rsidP="00274E01">
      <w:pPr>
        <w:pStyle w:val="ListParagraph"/>
        <w:numPr>
          <w:ilvl w:val="0"/>
          <w:numId w:val="9"/>
        </w:numPr>
        <w:jc w:val="both"/>
        <w:rPr>
          <w:rFonts w:ascii="Arial" w:eastAsia="Times New Roman" w:hAnsi="Arial" w:cs="Arial"/>
        </w:rPr>
      </w:pPr>
      <w:r w:rsidRPr="00270FA9">
        <w:rPr>
          <w:rFonts w:ascii="Arial" w:eastAsia="Times New Roman" w:hAnsi="Arial" w:cs="Arial"/>
          <w:b/>
          <w:bCs/>
        </w:rPr>
        <w:t>Comprehensive support</w:t>
      </w:r>
      <w:r w:rsidRPr="00270FA9">
        <w:rPr>
          <w:rFonts w:ascii="Arial" w:eastAsia="Times New Roman" w:hAnsi="Arial" w:cs="Arial"/>
        </w:rPr>
        <w:t xml:space="preserve">: Dedicated customer service team available to assist clients throughout the account opening process. </w:t>
      </w:r>
    </w:p>
    <w:p w14:paraId="5774A84F" w14:textId="77777777" w:rsidR="00274E01" w:rsidRDefault="00274E01" w:rsidP="00274E01">
      <w:pPr>
        <w:pStyle w:val="NormalWeb"/>
        <w:jc w:val="both"/>
        <w:rPr>
          <w:rFonts w:ascii="Arial" w:hAnsi="Arial" w:cs="Arial"/>
          <w:kern w:val="2"/>
        </w:rPr>
      </w:pPr>
      <w:r w:rsidRPr="00270FA9">
        <w:rPr>
          <w:rFonts w:ascii="Arial" w:hAnsi="Arial" w:cs="Arial"/>
          <w:b/>
          <w:bCs/>
          <w:kern w:val="2"/>
        </w:rPr>
        <w:t>Shri Binay Kumar Gupta, CGM, PNB said</w:t>
      </w:r>
      <w:r w:rsidRPr="00270FA9">
        <w:rPr>
          <w:rFonts w:ascii="Arial" w:hAnsi="Arial" w:cs="Arial"/>
        </w:rPr>
        <w:t xml:space="preserve"> </w:t>
      </w:r>
      <w:r w:rsidRPr="00270FA9">
        <w:rPr>
          <w:rFonts w:ascii="Arial" w:hAnsi="Arial" w:cs="Arial"/>
          <w:kern w:val="2"/>
        </w:rPr>
        <w:t>“We are committed to innovating and improving the overall investment experience. Our integrated demat account and trading account opening facility in collaboration with Bank’s trading partners, Aditya Birla Money Ltd. and SMC Global Securities Ltd. aims to empower investors to achieve their financial goals.”</w:t>
      </w:r>
    </w:p>
    <w:p w14:paraId="0F2265BA" w14:textId="77777777" w:rsidR="00800028" w:rsidRPr="00270FA9" w:rsidRDefault="00800028" w:rsidP="00274E01">
      <w:pPr>
        <w:pStyle w:val="NormalWeb"/>
        <w:jc w:val="both"/>
        <w:rPr>
          <w:rFonts w:ascii="Arial" w:hAnsi="Arial" w:cs="Arial"/>
          <w:kern w:val="2"/>
        </w:rPr>
      </w:pPr>
    </w:p>
    <w:p w14:paraId="3169D0F7" w14:textId="77777777" w:rsidR="00274E01" w:rsidRPr="00270FA9" w:rsidRDefault="00274E01" w:rsidP="00274E01">
      <w:pPr>
        <w:jc w:val="both"/>
        <w:rPr>
          <w:rFonts w:ascii="Arial" w:eastAsia="Times New Roman" w:hAnsi="Arial" w:cs="Arial"/>
        </w:rPr>
      </w:pPr>
      <w:r w:rsidRPr="00270FA9">
        <w:rPr>
          <w:rFonts w:ascii="Arial" w:eastAsia="Times New Roman" w:hAnsi="Arial" w:cs="Arial"/>
          <w:b/>
          <w:bCs/>
        </w:rPr>
        <w:t>How to Open an Account?</w:t>
      </w:r>
    </w:p>
    <w:p w14:paraId="43826DA5" w14:textId="77777777" w:rsidR="00274E01" w:rsidRPr="00270FA9" w:rsidRDefault="00274E01" w:rsidP="00274E01">
      <w:pPr>
        <w:jc w:val="both"/>
        <w:rPr>
          <w:rFonts w:ascii="Arial" w:eastAsia="Times New Roman" w:hAnsi="Arial" w:cs="Arial"/>
        </w:rPr>
      </w:pPr>
      <w:r w:rsidRPr="00270FA9">
        <w:rPr>
          <w:rFonts w:ascii="Arial" w:eastAsia="Times New Roman" w:hAnsi="Arial" w:cs="Arial"/>
        </w:rPr>
        <w:t>To open an integrated demat and trading account, customer can navigate to the ‘Popular’ section of the Bank’s mobile banking app, PNB One, and click on Dema</w:t>
      </w:r>
      <w:r w:rsidR="00DC11C9">
        <w:rPr>
          <w:rFonts w:ascii="Arial" w:eastAsia="Times New Roman" w:hAnsi="Arial" w:cs="Arial"/>
        </w:rPr>
        <w:t xml:space="preserve">t &amp; Trading. The service is </w:t>
      </w:r>
      <w:r w:rsidRPr="00270FA9">
        <w:rPr>
          <w:rFonts w:ascii="Arial" w:eastAsia="Times New Roman" w:hAnsi="Arial" w:cs="Arial"/>
        </w:rPr>
        <w:t>available</w:t>
      </w:r>
      <w:r w:rsidR="00DC11C9">
        <w:rPr>
          <w:rFonts w:ascii="Arial" w:eastAsia="Times New Roman" w:hAnsi="Arial" w:cs="Arial"/>
        </w:rPr>
        <w:t xml:space="preserve"> also</w:t>
      </w:r>
      <w:r w:rsidRPr="00270FA9">
        <w:rPr>
          <w:rFonts w:ascii="Arial" w:eastAsia="Times New Roman" w:hAnsi="Arial" w:cs="Arial"/>
        </w:rPr>
        <w:t xml:space="preserve"> on the internet banking platform.</w:t>
      </w:r>
    </w:p>
    <w:p w14:paraId="2A55C866" w14:textId="1CFF1AB8" w:rsidR="00274E01" w:rsidRPr="00F569CB" w:rsidRDefault="00274E01" w:rsidP="00FF1800">
      <w:pPr>
        <w:jc w:val="both"/>
        <w:rPr>
          <w:rFonts w:ascii="Arial" w:eastAsia="Times New Roman" w:hAnsi="Arial" w:cs="Arial"/>
        </w:rPr>
      </w:pPr>
      <w:r w:rsidRPr="00270FA9">
        <w:rPr>
          <w:rFonts w:ascii="Arial" w:eastAsia="Times New Roman" w:hAnsi="Arial" w:cs="Arial"/>
        </w:rPr>
        <w:t xml:space="preserve">For More Information, visit </w:t>
      </w:r>
      <w:hyperlink r:id="rId7" w:history="1">
        <w:r w:rsidRPr="00270FA9">
          <w:rPr>
            <w:rStyle w:val="Hyperlink"/>
            <w:rFonts w:ascii="Arial" w:eastAsia="Times New Roman" w:hAnsi="Arial" w:cs="Arial"/>
          </w:rPr>
          <w:t>www.pnbindia.in/</w:t>
        </w:r>
      </w:hyperlink>
    </w:p>
    <w:sectPr w:rsidR="00274E01" w:rsidRPr="00F56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1E89"/>
    <w:multiLevelType w:val="multilevel"/>
    <w:tmpl w:val="403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2102B"/>
    <w:multiLevelType w:val="hybridMultilevel"/>
    <w:tmpl w:val="082CD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8203DC"/>
    <w:multiLevelType w:val="multilevel"/>
    <w:tmpl w:val="9610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57F26"/>
    <w:multiLevelType w:val="hybridMultilevel"/>
    <w:tmpl w:val="61AC7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497215"/>
    <w:multiLevelType w:val="multilevel"/>
    <w:tmpl w:val="E07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06402"/>
    <w:multiLevelType w:val="hybridMultilevel"/>
    <w:tmpl w:val="3A1E0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AA3EF1"/>
    <w:multiLevelType w:val="multilevel"/>
    <w:tmpl w:val="DEA6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AC7779"/>
    <w:multiLevelType w:val="multilevel"/>
    <w:tmpl w:val="4428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53AA3"/>
    <w:multiLevelType w:val="multilevel"/>
    <w:tmpl w:val="71BE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336386">
    <w:abstractNumId w:val="2"/>
  </w:num>
  <w:num w:numId="2" w16cid:durableId="1063988725">
    <w:abstractNumId w:val="6"/>
  </w:num>
  <w:num w:numId="3" w16cid:durableId="91126571">
    <w:abstractNumId w:val="0"/>
  </w:num>
  <w:num w:numId="4" w16cid:durableId="1193302865">
    <w:abstractNumId w:val="7"/>
  </w:num>
  <w:num w:numId="5" w16cid:durableId="238826626">
    <w:abstractNumId w:val="8"/>
  </w:num>
  <w:num w:numId="6" w16cid:durableId="499857254">
    <w:abstractNumId w:val="4"/>
  </w:num>
  <w:num w:numId="7" w16cid:durableId="306975226">
    <w:abstractNumId w:val="3"/>
  </w:num>
  <w:num w:numId="8" w16cid:durableId="1018238639">
    <w:abstractNumId w:val="5"/>
  </w:num>
  <w:num w:numId="9" w16cid:durableId="91917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D1"/>
    <w:rsid w:val="0002324A"/>
    <w:rsid w:val="00040EAC"/>
    <w:rsid w:val="000C7D5B"/>
    <w:rsid w:val="00274E01"/>
    <w:rsid w:val="00280338"/>
    <w:rsid w:val="00553369"/>
    <w:rsid w:val="00557994"/>
    <w:rsid w:val="005A61BF"/>
    <w:rsid w:val="005C12F3"/>
    <w:rsid w:val="0069653A"/>
    <w:rsid w:val="006E46F5"/>
    <w:rsid w:val="00800028"/>
    <w:rsid w:val="00824D28"/>
    <w:rsid w:val="00836553"/>
    <w:rsid w:val="00846C0E"/>
    <w:rsid w:val="008A6D72"/>
    <w:rsid w:val="008B74ED"/>
    <w:rsid w:val="00953393"/>
    <w:rsid w:val="00A238A4"/>
    <w:rsid w:val="00A31ED1"/>
    <w:rsid w:val="00B2463D"/>
    <w:rsid w:val="00B24BB5"/>
    <w:rsid w:val="00C848F5"/>
    <w:rsid w:val="00D82349"/>
    <w:rsid w:val="00DC11C9"/>
    <w:rsid w:val="00E119C2"/>
    <w:rsid w:val="00E34D8E"/>
    <w:rsid w:val="00E54E54"/>
    <w:rsid w:val="00E72F94"/>
    <w:rsid w:val="00EA2393"/>
    <w:rsid w:val="00F05DCB"/>
    <w:rsid w:val="00F43FCA"/>
    <w:rsid w:val="00F569CB"/>
    <w:rsid w:val="00FF1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4DDB"/>
  <w15:chartTrackingRefBased/>
  <w15:docId w15:val="{1007744F-0AA7-4337-9F32-DFADF149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ED1"/>
    <w:rPr>
      <w:rFonts w:eastAsiaTheme="majorEastAsia" w:cstheme="majorBidi"/>
      <w:color w:val="272727" w:themeColor="text1" w:themeTint="D8"/>
    </w:rPr>
  </w:style>
  <w:style w:type="paragraph" w:styleId="Title">
    <w:name w:val="Title"/>
    <w:basedOn w:val="Normal"/>
    <w:next w:val="Normal"/>
    <w:link w:val="TitleChar"/>
    <w:uiPriority w:val="10"/>
    <w:qFormat/>
    <w:rsid w:val="00A31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ED1"/>
    <w:pPr>
      <w:spacing w:before="160"/>
      <w:jc w:val="center"/>
    </w:pPr>
    <w:rPr>
      <w:i/>
      <w:iCs/>
      <w:color w:val="404040" w:themeColor="text1" w:themeTint="BF"/>
    </w:rPr>
  </w:style>
  <w:style w:type="character" w:customStyle="1" w:styleId="QuoteChar">
    <w:name w:val="Quote Char"/>
    <w:basedOn w:val="DefaultParagraphFont"/>
    <w:link w:val="Quote"/>
    <w:uiPriority w:val="29"/>
    <w:rsid w:val="00A31ED1"/>
    <w:rPr>
      <w:i/>
      <w:iCs/>
      <w:color w:val="404040" w:themeColor="text1" w:themeTint="BF"/>
    </w:rPr>
  </w:style>
  <w:style w:type="paragraph" w:styleId="ListParagraph">
    <w:name w:val="List Paragraph"/>
    <w:aliases w:val="Bullet List,FooterText,heading 9,List Paragraph1,Heading 91,Annexure,Heading 911,List Paragraph2,List Paragraph11,Figure_name,Numbered Indented Text,lp1,Equipment,b1,Number_1,new,SGLText List Paragraph,Colorful List - Accent 11,Bullets"/>
    <w:basedOn w:val="Normal"/>
    <w:link w:val="ListParagraphChar"/>
    <w:uiPriority w:val="34"/>
    <w:qFormat/>
    <w:rsid w:val="00A31ED1"/>
    <w:pPr>
      <w:ind w:left="720"/>
      <w:contextualSpacing/>
    </w:pPr>
  </w:style>
  <w:style w:type="character" w:styleId="IntenseEmphasis">
    <w:name w:val="Intense Emphasis"/>
    <w:basedOn w:val="DefaultParagraphFont"/>
    <w:uiPriority w:val="21"/>
    <w:qFormat/>
    <w:rsid w:val="00A31ED1"/>
    <w:rPr>
      <w:i/>
      <w:iCs/>
      <w:color w:val="0F4761" w:themeColor="accent1" w:themeShade="BF"/>
    </w:rPr>
  </w:style>
  <w:style w:type="paragraph" w:styleId="IntenseQuote">
    <w:name w:val="Intense Quote"/>
    <w:basedOn w:val="Normal"/>
    <w:next w:val="Normal"/>
    <w:link w:val="IntenseQuoteChar"/>
    <w:uiPriority w:val="30"/>
    <w:qFormat/>
    <w:rsid w:val="00A31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ED1"/>
    <w:rPr>
      <w:i/>
      <w:iCs/>
      <w:color w:val="0F4761" w:themeColor="accent1" w:themeShade="BF"/>
    </w:rPr>
  </w:style>
  <w:style w:type="character" w:styleId="IntenseReference">
    <w:name w:val="Intense Reference"/>
    <w:basedOn w:val="DefaultParagraphFont"/>
    <w:uiPriority w:val="32"/>
    <w:qFormat/>
    <w:rsid w:val="00A31ED1"/>
    <w:rPr>
      <w:b/>
      <w:bCs/>
      <w:smallCaps/>
      <w:color w:val="0F4761" w:themeColor="accent1" w:themeShade="BF"/>
      <w:spacing w:val="5"/>
    </w:rPr>
  </w:style>
  <w:style w:type="paragraph" w:styleId="NormalWeb">
    <w:name w:val="Normal (Web)"/>
    <w:basedOn w:val="Normal"/>
    <w:uiPriority w:val="99"/>
    <w:unhideWhenUsed/>
    <w:rsid w:val="00FF1800"/>
    <w:pPr>
      <w:spacing w:after="0" w:line="240" w:lineRule="auto"/>
    </w:pPr>
    <w:rPr>
      <w:rFonts w:ascii="Times New Roman" w:hAnsi="Times New Roman" w:cs="Times New Roman"/>
      <w:kern w:val="0"/>
      <w:lang w:eastAsia="en-IN"/>
      <w14:ligatures w14:val="none"/>
    </w:rPr>
  </w:style>
  <w:style w:type="character" w:styleId="Hyperlink">
    <w:name w:val="Hyperlink"/>
    <w:basedOn w:val="DefaultParagraphFont"/>
    <w:uiPriority w:val="99"/>
    <w:unhideWhenUsed/>
    <w:rsid w:val="00E34D8E"/>
    <w:rPr>
      <w:color w:val="467886" w:themeColor="hyperlink"/>
      <w:u w:val="single"/>
    </w:rPr>
  </w:style>
  <w:style w:type="character" w:customStyle="1" w:styleId="UnresolvedMention1">
    <w:name w:val="Unresolved Mention1"/>
    <w:basedOn w:val="DefaultParagraphFont"/>
    <w:uiPriority w:val="99"/>
    <w:semiHidden/>
    <w:unhideWhenUsed/>
    <w:rsid w:val="00E34D8E"/>
    <w:rPr>
      <w:color w:val="605E5C"/>
      <w:shd w:val="clear" w:color="auto" w:fill="E1DFDD"/>
    </w:rPr>
  </w:style>
  <w:style w:type="character" w:styleId="FollowedHyperlink">
    <w:name w:val="FollowedHyperlink"/>
    <w:basedOn w:val="DefaultParagraphFont"/>
    <w:uiPriority w:val="99"/>
    <w:semiHidden/>
    <w:unhideWhenUsed/>
    <w:rsid w:val="00E34D8E"/>
    <w:rPr>
      <w:color w:val="96607D" w:themeColor="followedHyperlink"/>
      <w:u w:val="single"/>
    </w:rPr>
  </w:style>
  <w:style w:type="character" w:customStyle="1" w:styleId="ListParagraphChar">
    <w:name w:val="List Paragraph Char"/>
    <w:aliases w:val="Bullet List Char,FooterText Char,heading 9 Char,List Paragraph1 Char,Heading 91 Char,Annexure Char,Heading 911 Char,List Paragraph2 Char,List Paragraph11 Char,Figure_name Char,Numbered Indented Text Char,lp1 Char,Equipment Char"/>
    <w:link w:val="ListParagraph"/>
    <w:uiPriority w:val="34"/>
    <w:qFormat/>
    <w:rsid w:val="0027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6234">
      <w:bodyDiv w:val="1"/>
      <w:marLeft w:val="0"/>
      <w:marRight w:val="0"/>
      <w:marTop w:val="0"/>
      <w:marBottom w:val="0"/>
      <w:divBdr>
        <w:top w:val="none" w:sz="0" w:space="0" w:color="auto"/>
        <w:left w:val="none" w:sz="0" w:space="0" w:color="auto"/>
        <w:bottom w:val="none" w:sz="0" w:space="0" w:color="auto"/>
        <w:right w:val="none" w:sz="0" w:space="0" w:color="auto"/>
      </w:divBdr>
    </w:div>
    <w:div w:id="661352646">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60830167">
      <w:bodyDiv w:val="1"/>
      <w:marLeft w:val="0"/>
      <w:marRight w:val="0"/>
      <w:marTop w:val="0"/>
      <w:marBottom w:val="0"/>
      <w:divBdr>
        <w:top w:val="none" w:sz="0" w:space="0" w:color="auto"/>
        <w:left w:val="none" w:sz="0" w:space="0" w:color="auto"/>
        <w:bottom w:val="none" w:sz="0" w:space="0" w:color="auto"/>
        <w:right w:val="none" w:sz="0" w:space="0" w:color="auto"/>
      </w:divBdr>
    </w:div>
    <w:div w:id="1052585012">
      <w:bodyDiv w:val="1"/>
      <w:marLeft w:val="0"/>
      <w:marRight w:val="0"/>
      <w:marTop w:val="0"/>
      <w:marBottom w:val="0"/>
      <w:divBdr>
        <w:top w:val="none" w:sz="0" w:space="0" w:color="auto"/>
        <w:left w:val="none" w:sz="0" w:space="0" w:color="auto"/>
        <w:bottom w:val="none" w:sz="0" w:space="0" w:color="auto"/>
        <w:right w:val="none" w:sz="0" w:space="0" w:color="auto"/>
      </w:divBdr>
    </w:div>
    <w:div w:id="1107315406">
      <w:bodyDiv w:val="1"/>
      <w:marLeft w:val="0"/>
      <w:marRight w:val="0"/>
      <w:marTop w:val="0"/>
      <w:marBottom w:val="0"/>
      <w:divBdr>
        <w:top w:val="none" w:sz="0" w:space="0" w:color="auto"/>
        <w:left w:val="none" w:sz="0" w:space="0" w:color="auto"/>
        <w:bottom w:val="none" w:sz="0" w:space="0" w:color="auto"/>
        <w:right w:val="none" w:sz="0" w:space="0" w:color="auto"/>
      </w:divBdr>
    </w:div>
    <w:div w:id="1332686367">
      <w:bodyDiv w:val="1"/>
      <w:marLeft w:val="0"/>
      <w:marRight w:val="0"/>
      <w:marTop w:val="0"/>
      <w:marBottom w:val="0"/>
      <w:divBdr>
        <w:top w:val="none" w:sz="0" w:space="0" w:color="auto"/>
        <w:left w:val="none" w:sz="0" w:space="0" w:color="auto"/>
        <w:bottom w:val="none" w:sz="0" w:space="0" w:color="auto"/>
        <w:right w:val="none" w:sz="0" w:space="0" w:color="auto"/>
      </w:divBdr>
    </w:div>
    <w:div w:id="1835411088">
      <w:bodyDiv w:val="1"/>
      <w:marLeft w:val="0"/>
      <w:marRight w:val="0"/>
      <w:marTop w:val="0"/>
      <w:marBottom w:val="0"/>
      <w:divBdr>
        <w:top w:val="none" w:sz="0" w:space="0" w:color="auto"/>
        <w:left w:val="none" w:sz="0" w:space="0" w:color="auto"/>
        <w:bottom w:val="none" w:sz="0" w:space="0" w:color="auto"/>
        <w:right w:val="none" w:sz="0" w:space="0" w:color="auto"/>
      </w:divBdr>
    </w:div>
    <w:div w:id="21409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nbindi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Ayushi Das</cp:lastModifiedBy>
  <cp:revision>5</cp:revision>
  <dcterms:created xsi:type="dcterms:W3CDTF">2025-08-04T05:32:00Z</dcterms:created>
  <dcterms:modified xsi:type="dcterms:W3CDTF">2025-08-04T05:57:00Z</dcterms:modified>
</cp:coreProperties>
</file>